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DB" w:rsidRDefault="00E062FD">
      <w:pPr>
        <w:pStyle w:val="Textbody"/>
        <w:spacing w:line="460" w:lineRule="exact"/>
      </w:pPr>
      <w:bookmarkStart w:id="0" w:name="_Hlk41654703"/>
      <w:bookmarkStart w:id="1" w:name="_Hlk41654610"/>
      <w:bookmarkStart w:id="2" w:name="_GoBack"/>
      <w:r>
        <w:rPr>
          <w:rFonts w:ascii="標楷體" w:eastAsia="標楷體" w:hAnsi="標楷體"/>
          <w:bCs/>
          <w:color w:val="000000"/>
          <w:sz w:val="40"/>
          <w:szCs w:val="40"/>
        </w:rPr>
        <w:t>教育部本土教育推展貢獻獎勵</w:t>
      </w:r>
      <w:bookmarkEnd w:id="0"/>
      <w:r>
        <w:rPr>
          <w:rFonts w:ascii="標楷體" w:eastAsia="標楷體" w:hAnsi="標楷體"/>
          <w:bCs/>
          <w:color w:val="000000"/>
          <w:sz w:val="40"/>
          <w:szCs w:val="40"/>
        </w:rPr>
        <w:t>要點</w:t>
      </w:r>
      <w:bookmarkEnd w:id="1"/>
    </w:p>
    <w:bookmarkEnd w:id="2"/>
    <w:p w:rsidR="008127DB" w:rsidRDefault="00E062FD">
      <w:pPr>
        <w:pStyle w:val="Textbody"/>
        <w:numPr>
          <w:ilvl w:val="0"/>
          <w:numId w:val="7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教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育部（以下簡稱本部）為獎勵及表揚對推展本土教育具有顯著貢獻之自然人、機關、機構、學校、教保服務機構、法人或團體（以下簡稱受推薦對象），落實本土教育，特訂定本要點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各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機關、機構、學校、教保服務機構、法人或團體（以下簡稱推薦單位），得依本要點規定，推薦推展本土教育具顯著貢獻之前點所定之受推薦對象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受推薦對象推動之本土教育，應符合教育部本土教育實施要點之規定。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推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薦程序如下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127DB" w:rsidRDefault="00E062FD">
      <w:pPr>
        <w:pStyle w:val="Textbody"/>
        <w:numPr>
          <w:ilvl w:val="0"/>
          <w:numId w:val="8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由推薦單位主動舉薦，或由有意願之被推薦者向推薦單位申請。</w:t>
      </w:r>
    </w:p>
    <w:p w:rsidR="008127DB" w:rsidRDefault="00E062FD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推薦單位應本審慎客觀原則，深入查證、評析推薦事蹟。</w:t>
      </w:r>
    </w:p>
    <w:p w:rsidR="008127DB" w:rsidRDefault="00E062FD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推薦之事蹟應具有積極鼓勵基層、全面推展本土教育活動之功效。</w:t>
      </w:r>
    </w:p>
    <w:p w:rsidR="008127DB" w:rsidRDefault="00E062FD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曾得本獎項之受推薦對象，三年內不得再接受推薦</w:t>
      </w:r>
    </w:p>
    <w:p w:rsidR="008127DB" w:rsidRDefault="00E062FD">
      <w:pPr>
        <w:pStyle w:val="Textbody"/>
        <w:numPr>
          <w:ilvl w:val="0"/>
          <w:numId w:val="4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推薦單位應填具推薦表（如附表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及附表二），並檢附受推薦對象填具之簡介表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如附表三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及相關證明文件、資料，於本部公告之期間內，向本部提出；逾期提出者，不予受理。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本部受理推薦後，應組成評選小組審查。</w:t>
      </w:r>
    </w:p>
    <w:p w:rsidR="008127DB" w:rsidRDefault="00E062FD">
      <w:pPr>
        <w:pStyle w:val="Textbody"/>
        <w:spacing w:line="460" w:lineRule="exact"/>
        <w:ind w:left="560" w:firstLine="574"/>
      </w:pPr>
      <w:r>
        <w:rPr>
          <w:rFonts w:ascii="標楷體" w:eastAsia="標楷體" w:hAnsi="標楷體"/>
          <w:color w:val="000000"/>
          <w:sz w:val="28"/>
          <w:szCs w:val="28"/>
        </w:rPr>
        <w:t>前項評選小組置委員若干人，由本部部長就具專業素養之學者專家及機關代表聘（派）兼之；其中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人為召集人，由本部指定。</w:t>
      </w:r>
    </w:p>
    <w:p w:rsidR="008127DB" w:rsidRDefault="00E062FD">
      <w:pPr>
        <w:pStyle w:val="Textbody"/>
        <w:spacing w:line="460" w:lineRule="exact"/>
        <w:ind w:left="560" w:firstLine="574"/>
      </w:pPr>
      <w:r>
        <w:rPr>
          <w:rFonts w:ascii="標楷體" w:eastAsia="標楷體" w:hAnsi="標楷體"/>
          <w:color w:val="000000"/>
          <w:sz w:val="28"/>
          <w:szCs w:val="28"/>
        </w:rPr>
        <w:t>前項任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性別委員，不得少於委員總數三分之一。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評選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初選及決選二階段進行，規定如下：</w:t>
      </w:r>
    </w:p>
    <w:p w:rsidR="008127DB" w:rsidRDefault="00E062FD">
      <w:pPr>
        <w:pStyle w:val="Textbody"/>
        <w:numPr>
          <w:ilvl w:val="0"/>
          <w:numId w:val="9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初選：由各直轄市、縣（市）政府辦理書面審查，應本審慎客觀原則，依本部所定錄取名額之二倍名額，擇優推薦為決選名單。</w:t>
      </w:r>
    </w:p>
    <w:p w:rsidR="008127DB" w:rsidRDefault="00E062FD">
      <w:pPr>
        <w:pStyle w:val="Textbody"/>
        <w:numPr>
          <w:ilvl w:val="0"/>
          <w:numId w:val="5"/>
        </w:numPr>
        <w:spacing w:line="460" w:lineRule="exact"/>
        <w:ind w:left="855" w:hanging="567"/>
      </w:pPr>
      <w:r>
        <w:rPr>
          <w:rFonts w:ascii="標楷體" w:eastAsia="標楷體" w:hAnsi="標楷體"/>
          <w:color w:val="000000"/>
          <w:sz w:val="28"/>
          <w:szCs w:val="28"/>
        </w:rPr>
        <w:t>決選：由本部組成委員會，針對各直轄市、縣（市）政府所送初審名單，辦理審查事宜。決選結果獎勵及表揚之名額，合計以十名為原則，並得視當年度推薦數增減。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辦理評選之基準如下：</w:t>
      </w:r>
    </w:p>
    <w:p w:rsidR="008127DB" w:rsidRDefault="00E062FD">
      <w:pPr>
        <w:pStyle w:val="Textbody"/>
        <w:numPr>
          <w:ilvl w:val="0"/>
          <w:numId w:val="10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從事本土教育之傳播、推廣，對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促進終身學習，有具體而長遠之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影響。</w:t>
      </w:r>
    </w:p>
    <w:p w:rsidR="008127DB" w:rsidRDefault="00E062FD">
      <w:pPr>
        <w:pStyle w:val="Textbody"/>
        <w:numPr>
          <w:ilvl w:val="0"/>
          <w:numId w:val="6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從事本土教育論述、調查、研究或出版，有創新卓見。</w:t>
      </w:r>
    </w:p>
    <w:p w:rsidR="008127DB" w:rsidRDefault="00E062FD">
      <w:pPr>
        <w:pStyle w:val="Textbody"/>
        <w:numPr>
          <w:ilvl w:val="0"/>
          <w:numId w:val="6"/>
        </w:numPr>
        <w:spacing w:line="460" w:lineRule="exact"/>
        <w:ind w:left="864" w:hanging="624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開設或辦理本土教育相關課程、教學、教材或著作，提升教師專業知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能著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有成效。</w:t>
      </w:r>
    </w:p>
    <w:p w:rsidR="008127DB" w:rsidRDefault="00E062FD">
      <w:pPr>
        <w:pStyle w:val="Textbody"/>
        <w:numPr>
          <w:ilvl w:val="0"/>
          <w:numId w:val="6"/>
        </w:numPr>
        <w:spacing w:line="460" w:lineRule="exact"/>
        <w:ind w:left="722" w:hanging="482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捐資成立有形之本土教育相關設施，或於推廣本土教育上，影響深遠。</w:t>
      </w:r>
    </w:p>
    <w:p w:rsidR="008127DB" w:rsidRDefault="00E062FD">
      <w:pPr>
        <w:pStyle w:val="Textbody"/>
        <w:spacing w:line="460" w:lineRule="exact"/>
        <w:ind w:left="567" w:firstLine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評選小組應依前項基準所具有之影響力、重要性、持續性、創新性及特色予以評分。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要點獎勵方式為頒發獎座</w:t>
      </w:r>
      <w:r>
        <w:rPr>
          <w:rFonts w:ascii="標楷體" w:eastAsia="標楷體" w:hAnsi="標楷體"/>
          <w:color w:val="000000"/>
          <w:sz w:val="28"/>
          <w:szCs w:val="28"/>
        </w:rPr>
        <w:t>一座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及獎狀</w:t>
      </w:r>
      <w:r>
        <w:rPr>
          <w:rFonts w:ascii="標楷體" w:eastAsia="標楷體" w:hAnsi="標楷體"/>
          <w:color w:val="000000"/>
          <w:sz w:val="28"/>
          <w:szCs w:val="28"/>
        </w:rPr>
        <w:t>一幀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，並公開表揚</w:t>
      </w:r>
      <w:r>
        <w:rPr>
          <w:rFonts w:ascii="標楷體" w:eastAsia="標楷體" w:hAnsi="標楷體"/>
          <w:color w:val="000000"/>
          <w:sz w:val="28"/>
          <w:szCs w:val="28"/>
        </w:rPr>
        <w:t>；同時本部將評選結果通知各推薦單位。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本部得安排獲獎對象或其所屬機關人員出國考察其他國家、地區推動本土教育事蹟。</w:t>
      </w:r>
    </w:p>
    <w:p w:rsidR="008127DB" w:rsidRDefault="00E062FD">
      <w:pPr>
        <w:pStyle w:val="Textbody"/>
        <w:spacing w:line="460" w:lineRule="exact"/>
        <w:ind w:left="600" w:firstLine="560"/>
      </w:pPr>
      <w:r>
        <w:rPr>
          <w:rFonts w:ascii="標楷體" w:eastAsia="標楷體" w:hAnsi="標楷體"/>
          <w:color w:val="000000"/>
          <w:sz w:val="28"/>
          <w:szCs w:val="28"/>
        </w:rPr>
        <w:t>本部另得邀請獲獎對象就參與本土教育相關事項，辦理講座或活動，分享並傳承相關理念及經驗。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562" w:hanging="560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直轄市、縣（市）政府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用本要點規定，獎勵及表揚推展本土教育具傑出貢獻者，並得請該直轄市、縣（市）政府公開表揚。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850" w:hanging="848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獎勵事蹟經查證有虛偽不實，且可歸責於獲獎者，由本部撤銷其獎勵；其已發給之獎座、獎狀，以書面行政處分，通知限期返還。</w:t>
      </w:r>
    </w:p>
    <w:p w:rsidR="008127DB" w:rsidRDefault="00E062FD">
      <w:pPr>
        <w:pStyle w:val="Textbody"/>
        <w:numPr>
          <w:ilvl w:val="0"/>
          <w:numId w:val="3"/>
        </w:numPr>
        <w:spacing w:line="460" w:lineRule="exact"/>
        <w:ind w:left="848" w:hanging="848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因推薦單位故意或重大過失，致得獎者有評選事蹟不實，經查證屬實者，本部得限制其三年內不得辦理推薦。</w:t>
      </w:r>
    </w:p>
    <w:sectPr w:rsidR="008127DB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FD" w:rsidRDefault="00E062FD">
      <w:r>
        <w:separator/>
      </w:r>
    </w:p>
  </w:endnote>
  <w:endnote w:type="continuationSeparator" w:id="0">
    <w:p w:rsidR="00E062FD" w:rsidRDefault="00E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.D·￠A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FD" w:rsidRDefault="00E062FD">
      <w:r>
        <w:rPr>
          <w:color w:val="000000"/>
        </w:rPr>
        <w:separator/>
      </w:r>
    </w:p>
  </w:footnote>
  <w:footnote w:type="continuationSeparator" w:id="0">
    <w:p w:rsidR="00E062FD" w:rsidRDefault="00E0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31E"/>
    <w:multiLevelType w:val="multilevel"/>
    <w:tmpl w:val="54F8023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5DF40E5"/>
    <w:multiLevelType w:val="multilevel"/>
    <w:tmpl w:val="948418C6"/>
    <w:styleLink w:val="WWNum4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EE01651"/>
    <w:multiLevelType w:val="multilevel"/>
    <w:tmpl w:val="AE7ECD58"/>
    <w:styleLink w:val="WWNum3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66D1832"/>
    <w:multiLevelType w:val="multilevel"/>
    <w:tmpl w:val="B2BC539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163174A"/>
    <w:multiLevelType w:val="multilevel"/>
    <w:tmpl w:val="3858F848"/>
    <w:styleLink w:val="WWNum5"/>
    <w:lvl w:ilvl="0">
      <w:start w:val="1"/>
      <w:numFmt w:val="japaneseCounting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3373C6C"/>
    <w:multiLevelType w:val="multilevel"/>
    <w:tmpl w:val="6C92AC2A"/>
    <w:styleLink w:val="WW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7DB"/>
    <w:rsid w:val="00027003"/>
    <w:rsid w:val="008127DB"/>
    <w:rsid w:val="00E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555F6-B702-4424-B136-62DF272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Textbody"/>
    <w:next w:val="Textbody"/>
    <w:uiPriority w:val="9"/>
    <w:qFormat/>
    <w:pPr>
      <w:keepNext/>
      <w:spacing w:line="320" w:lineRule="exact"/>
      <w:jc w:val="center"/>
      <w:outlineLvl w:val="0"/>
    </w:pPr>
    <w:rPr>
      <w:b/>
      <w:bCs/>
      <w:sz w:val="20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keepNext/>
      <w:spacing w:line="72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rPr>
      <w:kern w:val="3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6">
    <w:name w:val="Balloon Text"/>
    <w:basedOn w:val="Textbody"/>
    <w:rPr>
      <w:rFonts w:ascii="Cambria" w:eastAsia="Cambria" w:hAnsi="Cambria" w:cs="Cambria"/>
      <w:kern w:val="0"/>
      <w:sz w:val="2"/>
      <w:szCs w:val="20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Textbody"/>
    <w:rPr>
      <w:rFonts w:ascii="細明體" w:eastAsia="細明體" w:hAnsi="細明體" w:cs="細明體"/>
      <w:szCs w:val="20"/>
    </w:rPr>
  </w:style>
  <w:style w:type="paragraph" w:styleId="aa">
    <w:name w:val="List Paragraph"/>
    <w:basedOn w:val="Textbody"/>
    <w:pPr>
      <w:ind w:left="48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b">
    <w:name w:val="字元 字元 字元 字元"/>
    <w:basedOn w:val="Textbody"/>
    <w:pPr>
      <w:widowControl/>
      <w:spacing w:after="160" w:line="240" w:lineRule="exact"/>
    </w:pPr>
    <w:rPr>
      <w:rFonts w:ascii="Cambria" w:eastAsia="Cambria" w:hAnsi="Cambria" w:cs="Cambria"/>
      <w:kern w:val="0"/>
      <w:sz w:val="20"/>
      <w:szCs w:val="20"/>
      <w:lang w:eastAsia="en-US"/>
    </w:rPr>
  </w:style>
  <w:style w:type="paragraph" w:customStyle="1" w:styleId="Textbodyindent">
    <w:name w:val="Text body indent"/>
    <w:basedOn w:val="Textbody"/>
    <w:pPr>
      <w:ind w:left="907"/>
    </w:pPr>
    <w:rPr>
      <w:rFonts w:ascii="標楷體" w:eastAsia="標楷體" w:hAnsi="標楷體" w:cs="標楷體"/>
      <w:sz w:val="30"/>
      <w:szCs w:val="20"/>
    </w:rPr>
  </w:style>
  <w:style w:type="paragraph" w:styleId="ac">
    <w:name w:val="Block Text"/>
    <w:basedOn w:val="Textbody"/>
    <w:pPr>
      <w:spacing w:line="360" w:lineRule="exact"/>
      <w:ind w:left="540" w:right="-17" w:hanging="540"/>
    </w:pPr>
    <w:rPr>
      <w:rFonts w:ascii="標楷體" w:eastAsia="標楷體" w:hAnsi="標楷體" w:cs="標楷體"/>
    </w:rPr>
  </w:style>
  <w:style w:type="paragraph" w:customStyle="1" w:styleId="Default">
    <w:name w:val="Default"/>
    <w:rPr>
      <w:rFonts w:ascii=".D·￠Ae" w:eastAsia=".D·￠Ae" w:hAnsi=".D·￠Ae" w:cs=".D·￠Ae"/>
      <w:color w:val="000000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d">
    <w:name w:val="註解方塊文字 字元"/>
    <w:rPr>
      <w:rFonts w:ascii="Cambria" w:eastAsia="新細明體" w:hAnsi="Cambria" w:cs="Times New Roman"/>
      <w:sz w:val="2"/>
    </w:rPr>
  </w:style>
  <w:style w:type="character" w:customStyle="1" w:styleId="ae">
    <w:name w:val="頁首 字元"/>
    <w:rPr>
      <w:rFonts w:cs="Times New Roman"/>
      <w:kern w:val="3"/>
    </w:rPr>
  </w:style>
  <w:style w:type="character" w:customStyle="1" w:styleId="af">
    <w:name w:val="頁尾 字元"/>
    <w:rPr>
      <w:rFonts w:cs="Times New Roman"/>
      <w:kern w:val="3"/>
    </w:rPr>
  </w:style>
  <w:style w:type="character" w:customStyle="1" w:styleId="af0">
    <w:name w:val="純文字 字元"/>
    <w:rPr>
      <w:rFonts w:ascii="細明體" w:eastAsia="細明體" w:hAnsi="細明體" w:cs="Times New Roman"/>
      <w:kern w:val="3"/>
      <w:sz w:val="24"/>
    </w:rPr>
  </w:style>
  <w:style w:type="character" w:customStyle="1" w:styleId="HTML0">
    <w:name w:val="HTML 預設格式 字元"/>
    <w:rPr>
      <w:rFonts w:ascii="Arial Unicode MS" w:eastAsia="新細明體" w:hAnsi="Arial Unicode MS" w:cs="Arial Unicode MS"/>
      <w:lang w:val="en-US" w:eastAsia="zh-TW" w:bidi="ar-SA"/>
    </w:rPr>
  </w:style>
  <w:style w:type="character" w:styleId="af1">
    <w:name w:val="page number"/>
    <w:basedOn w:val="a0"/>
  </w:style>
  <w:style w:type="character" w:styleId="af2">
    <w:name w:val="line number"/>
    <w:basedOn w:val="a0"/>
  </w:style>
  <w:style w:type="character" w:customStyle="1" w:styleId="10">
    <w:name w:val="標題 1 字元"/>
    <w:rPr>
      <w:b/>
      <w:bCs/>
      <w:kern w:val="3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character" w:styleId="af3">
    <w:name w:val="Placeholder Text"/>
    <w:rPr>
      <w:color w:val="808080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討論事項：(1)102年3月29日第7次署務會</dc:title>
  <dc:creator>教育部中辦</dc:creator>
  <cp:lastModifiedBy>user</cp:lastModifiedBy>
  <cp:revision>2</cp:revision>
  <cp:lastPrinted>2021-12-23T08:13:00Z</cp:lastPrinted>
  <dcterms:created xsi:type="dcterms:W3CDTF">2022-03-04T08:03:00Z</dcterms:created>
  <dcterms:modified xsi:type="dcterms:W3CDTF">2022-03-04T08:03:00Z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